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3FFB" w:rsidRPr="00417A6C" w:rsidRDefault="00873FFB" w:rsidP="00024699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417A6C">
        <w:rPr>
          <w:rFonts w:ascii="Times New Roman" w:hAnsi="Times New Roman" w:cs="Times New Roman"/>
          <w:sz w:val="28"/>
          <w:szCs w:val="28"/>
        </w:rPr>
        <w:t>4 ПОСЛЕДОВАТЕЛЬНОСТЬ И СОДЕРЖАНИЕ</w:t>
      </w:r>
    </w:p>
    <w:p w:rsidR="00873FFB" w:rsidRPr="00417A6C" w:rsidRDefault="00873FFB" w:rsidP="00024699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>ЗЕМЕЛЬНО-РЕГИСТРАЦИОННОГО ПРОЦЕССА</w:t>
      </w:r>
    </w:p>
    <w:bookmarkEnd w:id="0"/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>Государственной регистрации в правовом кадастре подлежат возникновение, изменение и прекращение прав (обременении прав) на недвижимое имущество и сделок с ним, а также юридические притязания.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>Государственной регистрации в правовом кадастре подлежат следующие права на недвижимое имущество: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>1) право собственности;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>2) право хозяйственного ведения;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>3) право оперативного управления;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>4) право землепользования на срок не менее одного года;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>5) сервитут в пользу господствующего земельного участка или иного объекта недвижимости на срок не менее одного года.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>6) иные права могут быть зарегистрированы по желанию правообладателей.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 xml:space="preserve">      Государственной регистрации в правовом кадастре подлежат сделки в соответствии с законами Республики Казахстан.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 xml:space="preserve">Государственная регистрация прав на недвижимое имущество и сделок с ним проводится в следующем порядке: 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>1) прием документов, предусмотренных статьей 21 Закона «О государственной регистрации прав на недвижимое имущество и сделок с ним»;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>2) проверка документов, представленных на государственную регистрацию, включая проверку законности совершаемой сделки и (или) иных юридических фактов (юридических составов), являющихся основаниями возникновения, изменения, прекращения прав (обременении прав) на недвижимое имущество или иных объектов государственной регистрации на соответствие действующему законодательству;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>3) внесение записей в регистрационный лист о произведенной регистрации либо отказ или приостановление государственной регистрации в случаях, предусмотренных Законом «О государственной регистрации прав на недвижимое имущество и сделок с ним»;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lastRenderedPageBreak/>
        <w:t>4) совершение надписи на правоустанавливающем документе о произведенной государственной регистрации;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>5) выдача правоустанавливающего документа с отметкой о произведенной регистрации, либо документа об отказе или приостановлении государственной регистрации по основаниям, предусмотренным настоящим Законом, а также выдача свидетельства о государственной регистрации в случаях, предусмотренных законодательными актами Республики Казахстан.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 xml:space="preserve">Вопросы: 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>1. Последовательность земельно-регистрационного процесса.</w:t>
      </w:r>
    </w:p>
    <w:p w:rsidR="00873FFB" w:rsidRPr="00417A6C" w:rsidRDefault="00873FFB" w:rsidP="00417A6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A6C">
        <w:rPr>
          <w:rFonts w:ascii="Times New Roman" w:hAnsi="Times New Roman" w:cs="Times New Roman"/>
          <w:sz w:val="28"/>
          <w:szCs w:val="28"/>
        </w:rPr>
        <w:t>2. Содержание земельно-регистрационного процесса.</w:t>
      </w:r>
    </w:p>
    <w:p w:rsidR="00873FFB" w:rsidRDefault="00873FFB" w:rsidP="00873FFB"/>
    <w:sectPr w:rsidR="00873F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8DE"/>
    <w:rsid w:val="00024699"/>
    <w:rsid w:val="00417A6C"/>
    <w:rsid w:val="00676728"/>
    <w:rsid w:val="00873FFB"/>
    <w:rsid w:val="00D12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E3934A-D288-4484-9775-20DDBC365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5</cp:revision>
  <dcterms:created xsi:type="dcterms:W3CDTF">2020-09-20T18:40:00Z</dcterms:created>
  <dcterms:modified xsi:type="dcterms:W3CDTF">2020-09-20T20:43:00Z</dcterms:modified>
</cp:coreProperties>
</file>